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E14379" w:rsidTr="00E14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9" w:rsidRDefault="00E143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Trgovsko ime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9" w:rsidRDefault="00E14379">
            <w:pPr>
              <w:rPr>
                <w:b/>
              </w:rPr>
            </w:pPr>
            <w:r>
              <w:rPr>
                <w:b/>
              </w:rPr>
              <w:t>Kafra, eterično olje</w:t>
            </w:r>
          </w:p>
        </w:tc>
      </w:tr>
      <w:tr w:rsidR="00E14379" w:rsidTr="00E14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9" w:rsidRDefault="00E143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Volumen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9" w:rsidRDefault="00E14379">
            <w:r>
              <w:t>2ml/10ml/30ml/50ml</w:t>
            </w:r>
          </w:p>
        </w:tc>
      </w:tr>
      <w:tr w:rsidR="00E14379" w:rsidTr="00E14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9" w:rsidRDefault="00E14379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9" w:rsidRDefault="00E14379">
            <w:pPr>
              <w:jc w:val="both"/>
            </w:pPr>
          </w:p>
        </w:tc>
      </w:tr>
      <w:tr w:rsidR="00E14379" w:rsidTr="00E143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9" w:rsidRDefault="00E143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Piktogrami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9" w:rsidRDefault="00E14379"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20" name="Picture 20" descr="Opis: 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pis: 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19" name="Picture 19" descr="Opis: http://www.unece.org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pis: http://www.unece.org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18" name="Picture 18" descr="Opis: http://www.unece.org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pis: http://www.unece.org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17" name="Picture 17" descr="Opis: http://www.unece.org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pis: http://www.unece.org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379" w:rsidTr="00E14379">
        <w:trPr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9" w:rsidRDefault="00E143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Zakonsko besedilo na etiketi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79" w:rsidRDefault="00E14379">
            <w:pPr>
              <w:tabs>
                <w:tab w:val="right" w:pos="8789"/>
              </w:tabs>
              <w:jc w:val="both"/>
            </w:pPr>
            <w:r>
              <w:rPr>
                <w:rFonts w:cs="Arial"/>
                <w:bCs/>
                <w:sz w:val="20"/>
                <w:szCs w:val="20"/>
              </w:rPr>
              <w:t xml:space="preserve">Trgovsko ime: </w:t>
            </w:r>
            <w:r>
              <w:t>Kafra, eterično olje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</w:rPr>
              <w:t>Količina: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highlight w:val="yellow"/>
              </w:rPr>
              <w:t>2ml/10ml/30ml/50ml</w:t>
            </w:r>
            <w:r>
              <w:rPr>
                <w:rFonts w:cs="Arial"/>
                <w:sz w:val="20"/>
                <w:szCs w:val="20"/>
              </w:rPr>
              <w:t xml:space="preserve">. Vsebuje: (S)-p-menta-1,8-dien; pin-2(3)-en; béta pinèn. </w:t>
            </w:r>
            <w:r>
              <w:rPr>
                <w:rFonts w:cs="Arial"/>
                <w:b/>
                <w:sz w:val="20"/>
                <w:szCs w:val="20"/>
              </w:rPr>
              <w:t>Nevarno</w:t>
            </w:r>
            <w:r>
              <w:rPr>
                <w:rFonts w:cs="Arial"/>
                <w:sz w:val="20"/>
                <w:szCs w:val="20"/>
              </w:rPr>
              <w:t>. Lahko povzroči alergijski odziv kože. Pri zaužitju in vstopu v dihalne poti je lahko smrtno.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Hraniti zunaj dosega otrok. PRI ZAUŽITJU: takoj pokličite CENTER ZA ZASTRUPITVE ali zdravnika. Hraniti zaklenjeno. Uporaba: Dišave, kozmetika. Distributer: </w:t>
            </w:r>
            <w:r>
              <w:rPr>
                <w:rFonts w:cs="Arial"/>
                <w:bCs/>
                <w:sz w:val="20"/>
                <w:szCs w:val="20"/>
              </w:rPr>
              <w:t xml:space="preserve">Natural Loti, DOLORES GREBENC S.P., Cesta Josipa Ribičiča 17, 1381 Rakek, Tel.: 051 272 825, e-mail: </w:t>
            </w:r>
            <w:hyperlink r:id="rId9" w:history="1">
              <w:r>
                <w:rPr>
                  <w:rStyle w:val="Hyperlink"/>
                  <w:rFonts w:cs="Arial"/>
                  <w:bCs/>
                  <w:sz w:val="20"/>
                  <w:szCs w:val="20"/>
                </w:rPr>
                <w:t>grebenc.dolores@gmail.com</w:t>
              </w:r>
            </w:hyperlink>
          </w:p>
        </w:tc>
      </w:tr>
    </w:tbl>
    <w:p w:rsidR="00D774FC" w:rsidRPr="00140E7E" w:rsidRDefault="00D774FC" w:rsidP="00140E7E"/>
    <w:sectPr w:rsidR="00D774FC" w:rsidRPr="0014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C"/>
    <w:rsid w:val="00140E7E"/>
    <w:rsid w:val="007401DF"/>
    <w:rsid w:val="009E1CB7"/>
    <w:rsid w:val="00D774FC"/>
    <w:rsid w:val="00E1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79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4379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E1437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79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4379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E1437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benc.dolo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2</cp:revision>
  <dcterms:created xsi:type="dcterms:W3CDTF">2015-08-19T12:48:00Z</dcterms:created>
  <dcterms:modified xsi:type="dcterms:W3CDTF">2015-08-19T12:48:00Z</dcterms:modified>
</cp:coreProperties>
</file>